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D884" w14:textId="77777777" w:rsidR="00BE6FC2" w:rsidRDefault="00BE6FC2" w:rsidP="00D1006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0"/>
          <w:szCs w:val="20"/>
          <w:lang w:eastAsia="it-IT"/>
        </w:rPr>
      </w:pPr>
    </w:p>
    <w:p w14:paraId="18FEBD28" w14:textId="64DE5417" w:rsidR="00BE6FC2" w:rsidRPr="00540FB8" w:rsidRDefault="00513BDA" w:rsidP="0090174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iCs/>
          <w:sz w:val="24"/>
          <w:szCs w:val="24"/>
        </w:rPr>
      </w:pPr>
      <w:r w:rsidRPr="00540FB8">
        <w:rPr>
          <w:i/>
          <w:iCs/>
          <w:sz w:val="24"/>
          <w:szCs w:val="24"/>
        </w:rPr>
        <w:t xml:space="preserve">Antiossidanti topici: dal </w:t>
      </w:r>
      <w:proofErr w:type="spellStart"/>
      <w:r w:rsidRPr="00540FB8">
        <w:rPr>
          <w:i/>
          <w:iCs/>
          <w:sz w:val="24"/>
          <w:szCs w:val="24"/>
        </w:rPr>
        <w:t>fotoinvecchiamento</w:t>
      </w:r>
      <w:proofErr w:type="spellEnd"/>
      <w:r w:rsidRPr="00540FB8">
        <w:rPr>
          <w:i/>
          <w:iCs/>
          <w:sz w:val="24"/>
          <w:szCs w:val="24"/>
        </w:rPr>
        <w:t xml:space="preserve"> alle dermatosi infiammatorie</w:t>
      </w:r>
    </w:p>
    <w:p w14:paraId="62BB67B5" w14:textId="6365A78A" w:rsidR="000476E0" w:rsidRDefault="000476E0" w:rsidP="0090174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Mauro Picardo</w:t>
      </w:r>
    </w:p>
    <w:p w14:paraId="1F5F381C" w14:textId="089F9802" w:rsidR="00901746" w:rsidRDefault="00901746" w:rsidP="0090174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Unicamillus International University</w:t>
      </w:r>
    </w:p>
    <w:p w14:paraId="2AAEF206" w14:textId="77777777" w:rsidR="00540FB8" w:rsidRPr="000476E0" w:rsidRDefault="00540FB8" w:rsidP="0090174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lang w:eastAsia="it-IT"/>
        </w:rPr>
      </w:pPr>
    </w:p>
    <w:p w14:paraId="4A3BF97C" w14:textId="50DF1393" w:rsidR="009648B3" w:rsidRPr="009648B3" w:rsidRDefault="009648B3" w:rsidP="0090174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  <w:lang w:eastAsia="it-IT"/>
        </w:rPr>
      </w:pPr>
      <w:r w:rsidRPr="009648B3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La </w:t>
      </w:r>
      <w:r w:rsidR="00A1535E" w:rsidRPr="00DF6FEB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cute </w:t>
      </w:r>
      <w:r w:rsidRPr="009648B3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è esposta a una varietà di aggressori </w:t>
      </w:r>
      <w:proofErr w:type="gramStart"/>
      <w:r w:rsidRPr="009648B3">
        <w:rPr>
          <w:rFonts w:ascii="Arial" w:eastAsia="Times New Roman" w:hAnsi="Arial" w:cs="Arial"/>
          <w:color w:val="202124"/>
          <w:sz w:val="20"/>
          <w:szCs w:val="20"/>
          <w:lang w:eastAsia="it-IT"/>
        </w:rPr>
        <w:t>ambientali</w:t>
      </w:r>
      <w:proofErr w:type="gramEnd"/>
      <w:r w:rsidRPr="009648B3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 tra cui radiazioni solari, fumo di sigaretta e sostanze inquinanti che aumentano direttamente o indirettamente la produzione di specie reattive dell'ossigeno (ROS). L'esposizione alla luce infrarossa (IR) </w:t>
      </w:r>
      <w:proofErr w:type="spellStart"/>
      <w:r w:rsidRPr="009648B3">
        <w:rPr>
          <w:rFonts w:ascii="Arial" w:eastAsia="Times New Roman" w:hAnsi="Arial" w:cs="Arial"/>
          <w:color w:val="202124"/>
          <w:sz w:val="20"/>
          <w:szCs w:val="20"/>
          <w:lang w:eastAsia="it-IT"/>
        </w:rPr>
        <w:t>sovraregola</w:t>
      </w:r>
      <w:proofErr w:type="spellEnd"/>
      <w:r w:rsidRPr="009648B3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 i ROS mitocondriali, aumentando ulteriormente l'accumulo intracellulare di ROS. Quando i ROS si accumulano all'interno della cellula, sopraffanno il sistema di difesa antiossidante intrinseco, innescando lo stress ossidativo. Lo stress ossidativo </w:t>
      </w:r>
      <w:proofErr w:type="spellStart"/>
      <w:r w:rsidRPr="009648B3">
        <w:rPr>
          <w:rFonts w:ascii="Arial" w:eastAsia="Times New Roman" w:hAnsi="Arial" w:cs="Arial"/>
          <w:color w:val="202124"/>
          <w:sz w:val="20"/>
          <w:szCs w:val="20"/>
          <w:lang w:eastAsia="it-IT"/>
        </w:rPr>
        <w:t>sovraregola</w:t>
      </w:r>
      <w:proofErr w:type="spellEnd"/>
      <w:r w:rsidRPr="009648B3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 i fattori di trascrizione redox sensibili, come la proteina attivatore 1 (AP-1) coinvolta nella trascrizione per </w:t>
      </w:r>
      <w:proofErr w:type="gramStart"/>
      <w:r w:rsidRPr="009648B3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le </w:t>
      </w:r>
      <w:r w:rsidR="007D4CFD" w:rsidRPr="009648B3">
        <w:rPr>
          <w:rFonts w:ascii="Arial" w:eastAsia="Times New Roman" w:hAnsi="Arial" w:cs="Arial"/>
          <w:color w:val="202124"/>
          <w:sz w:val="20"/>
          <w:szCs w:val="20"/>
          <w:lang w:eastAsia="it-IT"/>
        </w:rPr>
        <w:t>metallo</w:t>
      </w:r>
      <w:proofErr w:type="gramEnd"/>
      <w:r w:rsidR="007D4CFD" w:rsidRPr="009648B3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 proteinasi</w:t>
      </w:r>
      <w:r w:rsidRPr="009648B3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 della matrice di degradazione del collagene (MMP) e il fattore nucleare kappa beta (NF-кβ), principale regolatore della produzione di citochine pro-infiammatorie. Gli idrocarburi policiclici aromatici (IPA) nel particolato sono ligandi dei recettori degli idrocarburi arilici (</w:t>
      </w:r>
      <w:proofErr w:type="spellStart"/>
      <w:r w:rsidRPr="009648B3">
        <w:rPr>
          <w:rFonts w:ascii="Arial" w:eastAsia="Times New Roman" w:hAnsi="Arial" w:cs="Arial"/>
          <w:color w:val="202124"/>
          <w:sz w:val="20"/>
          <w:szCs w:val="20"/>
          <w:lang w:eastAsia="it-IT"/>
        </w:rPr>
        <w:t>AhR</w:t>
      </w:r>
      <w:proofErr w:type="spellEnd"/>
      <w:r w:rsidRPr="009648B3">
        <w:rPr>
          <w:rFonts w:ascii="Arial" w:eastAsia="Times New Roman" w:hAnsi="Arial" w:cs="Arial"/>
          <w:color w:val="202124"/>
          <w:sz w:val="20"/>
          <w:szCs w:val="20"/>
          <w:lang w:eastAsia="it-IT"/>
        </w:rPr>
        <w:t>). Le strategie di prevenzione includono antiossidanti (AOX) che possono essere somministrati per via topica o attraverso l'alimentazione per aumentare la capacità della pelle di neutralizzare i ROS. I chelanti applicati localmente possono anche essere usati per legare i metalli, prevenendo così la generazione di ROS</w:t>
      </w:r>
      <w:r w:rsidR="00D10067" w:rsidRPr="00DF6FEB">
        <w:rPr>
          <w:rFonts w:ascii="Arial" w:eastAsia="Times New Roman" w:hAnsi="Arial" w:cs="Arial"/>
          <w:color w:val="202124"/>
          <w:sz w:val="20"/>
          <w:szCs w:val="20"/>
          <w:lang w:eastAsia="it-IT"/>
        </w:rPr>
        <w:t>.</w:t>
      </w:r>
    </w:p>
    <w:p w14:paraId="322F5594" w14:textId="6932B9C4" w:rsidR="009648B3" w:rsidRPr="001D3B3F" w:rsidRDefault="00683327" w:rsidP="0090174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it-IT"/>
        </w:rPr>
        <w:t>Recentemente sono state sviluppate strategie</w:t>
      </w:r>
      <w:r w:rsidR="007E60BD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 </w:t>
      </w:r>
      <w:r w:rsidR="004F422F">
        <w:rPr>
          <w:rFonts w:ascii="Arial" w:eastAsia="Times New Roman" w:hAnsi="Arial" w:cs="Arial"/>
          <w:color w:val="202124"/>
          <w:sz w:val="20"/>
          <w:szCs w:val="20"/>
          <w:lang w:eastAsia="it-IT"/>
        </w:rPr>
        <w:t>p</w:t>
      </w:r>
      <w:r w:rsidR="007E60BD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er indurre la produzione </w:t>
      </w:r>
      <w:r w:rsidR="004F422F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intracellulare </w:t>
      </w:r>
      <w:r w:rsidR="007E60BD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di antiossidanti </w:t>
      </w:r>
      <w:proofErr w:type="gramStart"/>
      <w:r w:rsidR="004F422F">
        <w:rPr>
          <w:rFonts w:ascii="Arial" w:eastAsia="Times New Roman" w:hAnsi="Arial" w:cs="Arial"/>
          <w:color w:val="202124"/>
          <w:sz w:val="20"/>
          <w:szCs w:val="20"/>
          <w:lang w:eastAsia="it-IT"/>
        </w:rPr>
        <w:t>e</w:t>
      </w:r>
      <w:r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 </w:t>
      </w:r>
      <w:r w:rsidR="009648B3" w:rsidRPr="009648B3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 </w:t>
      </w:r>
      <w:r w:rsidR="004F422F">
        <w:rPr>
          <w:rFonts w:ascii="Arial" w:eastAsia="Times New Roman" w:hAnsi="Arial" w:cs="Arial"/>
          <w:color w:val="202124"/>
          <w:sz w:val="20"/>
          <w:szCs w:val="20"/>
          <w:lang w:eastAsia="it-IT"/>
        </w:rPr>
        <w:t>l</w:t>
      </w:r>
      <w:r w:rsidR="009648B3" w:rsidRPr="009648B3">
        <w:rPr>
          <w:rFonts w:ascii="Arial" w:eastAsia="Times New Roman" w:hAnsi="Arial" w:cs="Arial"/>
          <w:color w:val="202124"/>
          <w:sz w:val="20"/>
          <w:szCs w:val="20"/>
          <w:lang w:eastAsia="it-IT"/>
        </w:rPr>
        <w:t>e</w:t>
      </w:r>
      <w:proofErr w:type="gramEnd"/>
      <w:r w:rsidR="009648B3" w:rsidRPr="009648B3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 vie controllate da</w:t>
      </w:r>
      <w:r w:rsidR="004F422F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i fattori di trascrizione </w:t>
      </w:r>
      <w:r w:rsidR="009648B3" w:rsidRPr="009648B3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 Nrf2 </w:t>
      </w:r>
      <w:r w:rsidR="004F422F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 e  PPARy</w:t>
      </w:r>
      <w:r w:rsidR="006C01D9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 </w:t>
      </w:r>
      <w:r w:rsidR="009648B3" w:rsidRPr="009648B3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giocano un ruolo chiave a questo livello . I dati in vivo hanno dimostrato che la mobilizzazione del percorso Nrf2 </w:t>
      </w:r>
      <w:r w:rsidR="001D3B3F">
        <w:rPr>
          <w:rFonts w:ascii="Arial" w:eastAsia="Times New Roman" w:hAnsi="Arial" w:cs="Arial"/>
          <w:color w:val="202124"/>
          <w:sz w:val="20"/>
          <w:szCs w:val="20"/>
          <w:lang w:eastAsia="it-IT"/>
        </w:rPr>
        <w:t>o</w:t>
      </w:r>
      <w:r w:rsidR="006C01D9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 PPARy </w:t>
      </w:r>
      <w:r w:rsidR="009648B3" w:rsidRPr="009648B3">
        <w:rPr>
          <w:rFonts w:ascii="Arial" w:eastAsia="Times New Roman" w:hAnsi="Arial" w:cs="Arial"/>
          <w:color w:val="202124"/>
          <w:sz w:val="20"/>
          <w:szCs w:val="20"/>
          <w:lang w:eastAsia="it-IT"/>
        </w:rPr>
        <w:t>fornisc</w:t>
      </w:r>
      <w:r w:rsidR="001D3B3F">
        <w:rPr>
          <w:rFonts w:ascii="Arial" w:eastAsia="Times New Roman" w:hAnsi="Arial" w:cs="Arial"/>
          <w:color w:val="202124"/>
          <w:sz w:val="20"/>
          <w:szCs w:val="20"/>
          <w:lang w:eastAsia="it-IT"/>
        </w:rPr>
        <w:t>e</w:t>
      </w:r>
      <w:r w:rsidR="009648B3" w:rsidRPr="009648B3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 una prevenzione indiscutibile contro l'effetto delle radiazioni UV</w:t>
      </w:r>
      <w:r w:rsidR="001D3B3F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 </w:t>
      </w:r>
      <w:r w:rsidR="006C01D9">
        <w:rPr>
          <w:rFonts w:ascii="Arial" w:eastAsia="Times New Roman" w:hAnsi="Arial" w:cs="Arial"/>
          <w:color w:val="202124"/>
          <w:sz w:val="20"/>
          <w:szCs w:val="20"/>
          <w:lang w:eastAsia="it-IT"/>
        </w:rPr>
        <w:t>sia acuto sia cronico</w:t>
      </w:r>
      <w:r w:rsidR="001D3B3F">
        <w:rPr>
          <w:rFonts w:ascii="Arial" w:eastAsia="Times New Roman" w:hAnsi="Arial" w:cs="Arial"/>
          <w:color w:val="202124"/>
          <w:sz w:val="20"/>
          <w:szCs w:val="20"/>
          <w:lang w:eastAsia="it-IT"/>
        </w:rPr>
        <w:t>.</w:t>
      </w:r>
      <w:r w:rsidR="002D1E3D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 I cluste</w:t>
      </w:r>
      <w:r w:rsidR="00983E5D">
        <w:rPr>
          <w:rFonts w:ascii="Arial" w:eastAsia="Times New Roman" w:hAnsi="Arial" w:cs="Arial"/>
          <w:color w:val="202124"/>
          <w:sz w:val="20"/>
          <w:szCs w:val="20"/>
          <w:lang w:eastAsia="it-IT"/>
        </w:rPr>
        <w:t>r</w:t>
      </w:r>
      <w:r w:rsidR="002D1E3D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 di</w:t>
      </w:r>
      <w:r w:rsidR="00983E5D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 </w:t>
      </w:r>
      <w:r w:rsidR="002D1E3D">
        <w:rPr>
          <w:rFonts w:ascii="Arial" w:eastAsia="Times New Roman" w:hAnsi="Arial" w:cs="Arial"/>
          <w:color w:val="202124"/>
          <w:sz w:val="20"/>
          <w:szCs w:val="20"/>
          <w:lang w:eastAsia="it-IT"/>
        </w:rPr>
        <w:t>geni attivati da entrambi i fattori di trascri</w:t>
      </w:r>
      <w:r w:rsidR="00983E5D">
        <w:rPr>
          <w:rFonts w:ascii="Arial" w:eastAsia="Times New Roman" w:hAnsi="Arial" w:cs="Arial"/>
          <w:color w:val="202124"/>
          <w:sz w:val="20"/>
          <w:szCs w:val="20"/>
          <w:lang w:eastAsia="it-IT"/>
        </w:rPr>
        <w:t>zi</w:t>
      </w:r>
      <w:r w:rsidR="002D1E3D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one </w:t>
      </w:r>
      <w:r w:rsidR="00983E5D" w:rsidRPr="009648B3">
        <w:rPr>
          <w:rFonts w:ascii="Arial" w:eastAsia="Times New Roman" w:hAnsi="Arial" w:cs="Arial"/>
          <w:color w:val="202124"/>
          <w:sz w:val="20"/>
          <w:szCs w:val="20"/>
          <w:lang w:eastAsia="it-IT"/>
        </w:rPr>
        <w:t>si estende alla disintossicazione di sostanze chimiche, in particolare molecole elettrofile, controllando gli enzimi del metabolismo di fase 2.4</w:t>
      </w:r>
      <w:r w:rsidR="00983E5D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 e </w:t>
      </w:r>
      <w:r w:rsidR="00983E5D" w:rsidRPr="009648B3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nella riduzione di alcuni </w:t>
      </w:r>
      <w:r w:rsidR="001D4759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processi infiammatori aprendo nuove prospettiva nella </w:t>
      </w:r>
      <w:r w:rsidR="00BE6FC2">
        <w:rPr>
          <w:rFonts w:ascii="Arial" w:eastAsia="Times New Roman" w:hAnsi="Arial" w:cs="Arial"/>
          <w:color w:val="202124"/>
          <w:sz w:val="20"/>
          <w:szCs w:val="20"/>
          <w:lang w:eastAsia="it-IT"/>
        </w:rPr>
        <w:t>p</w:t>
      </w:r>
      <w:r w:rsidR="001D4759">
        <w:rPr>
          <w:rFonts w:ascii="Arial" w:eastAsia="Times New Roman" w:hAnsi="Arial" w:cs="Arial"/>
          <w:color w:val="202124"/>
          <w:sz w:val="20"/>
          <w:szCs w:val="20"/>
          <w:lang w:eastAsia="it-IT"/>
        </w:rPr>
        <w:t>revenzione d</w:t>
      </w:r>
      <w:r w:rsidR="00BE6FC2">
        <w:rPr>
          <w:rFonts w:ascii="Arial" w:eastAsia="Times New Roman" w:hAnsi="Arial" w:cs="Arial"/>
          <w:color w:val="202124"/>
          <w:sz w:val="20"/>
          <w:szCs w:val="20"/>
          <w:lang w:eastAsia="it-IT"/>
        </w:rPr>
        <w:t>e</w:t>
      </w:r>
      <w:r w:rsidR="001D4759">
        <w:rPr>
          <w:rFonts w:ascii="Arial" w:eastAsia="Times New Roman" w:hAnsi="Arial" w:cs="Arial"/>
          <w:color w:val="202124"/>
          <w:sz w:val="20"/>
          <w:szCs w:val="20"/>
          <w:lang w:eastAsia="it-IT"/>
        </w:rPr>
        <w:t>ll</w:t>
      </w:r>
      <w:r w:rsidR="00BE6FC2">
        <w:rPr>
          <w:rFonts w:ascii="Arial" w:eastAsia="Times New Roman" w:hAnsi="Arial" w:cs="Arial"/>
          <w:color w:val="202124"/>
          <w:sz w:val="20"/>
          <w:szCs w:val="20"/>
          <w:lang w:eastAsia="it-IT"/>
        </w:rPr>
        <w:t>’invecchiamento cutaneo</w:t>
      </w:r>
    </w:p>
    <w:sectPr w:rsidR="009648B3" w:rsidRPr="001D3B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82"/>
    <w:rsid w:val="000476E0"/>
    <w:rsid w:val="00164F32"/>
    <w:rsid w:val="001D3B3F"/>
    <w:rsid w:val="001D4759"/>
    <w:rsid w:val="00230783"/>
    <w:rsid w:val="002D1E3D"/>
    <w:rsid w:val="002D2F4F"/>
    <w:rsid w:val="004B605E"/>
    <w:rsid w:val="004F422F"/>
    <w:rsid w:val="00513BDA"/>
    <w:rsid w:val="00540FB8"/>
    <w:rsid w:val="00630DFF"/>
    <w:rsid w:val="00683327"/>
    <w:rsid w:val="006C01D9"/>
    <w:rsid w:val="00787C77"/>
    <w:rsid w:val="007D2D1D"/>
    <w:rsid w:val="007D4CFD"/>
    <w:rsid w:val="007E60BD"/>
    <w:rsid w:val="00901746"/>
    <w:rsid w:val="00953B82"/>
    <w:rsid w:val="009648B3"/>
    <w:rsid w:val="00983E5D"/>
    <w:rsid w:val="00A1535E"/>
    <w:rsid w:val="00A4718C"/>
    <w:rsid w:val="00BE6FC2"/>
    <w:rsid w:val="00D10067"/>
    <w:rsid w:val="00D20C32"/>
    <w:rsid w:val="00D42619"/>
    <w:rsid w:val="00DD0C57"/>
    <w:rsid w:val="00D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0918"/>
  <w15:chartTrackingRefBased/>
  <w15:docId w15:val="{F941B73A-6468-431F-8960-61830745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Picardo</dc:creator>
  <cp:keywords/>
  <dc:description/>
  <cp:lastModifiedBy>Mauro Picardo</cp:lastModifiedBy>
  <cp:revision>2</cp:revision>
  <dcterms:created xsi:type="dcterms:W3CDTF">2022-12-16T17:57:00Z</dcterms:created>
  <dcterms:modified xsi:type="dcterms:W3CDTF">2022-12-16T17:57:00Z</dcterms:modified>
</cp:coreProperties>
</file>