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FDDC" w14:textId="74CC1B83" w:rsidR="000D41CD" w:rsidRPr="00AA4E83" w:rsidRDefault="000D41CD" w:rsidP="0089713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4E83">
        <w:rPr>
          <w:rFonts w:ascii="Arial" w:hAnsi="Arial" w:cs="Arial"/>
          <w:b/>
          <w:bCs/>
          <w:sz w:val="20"/>
          <w:szCs w:val="20"/>
        </w:rPr>
        <w:t>Psoriasi</w:t>
      </w:r>
    </w:p>
    <w:p w14:paraId="71D248B2" w14:textId="77777777" w:rsidR="000D41CD" w:rsidRPr="008E39D3" w:rsidRDefault="000D41CD" w:rsidP="0089713F">
      <w:pPr>
        <w:spacing w:line="360" w:lineRule="auto"/>
        <w:rPr>
          <w:rFonts w:ascii="Arial" w:hAnsi="Arial" w:cs="Arial"/>
          <w:sz w:val="20"/>
          <w:szCs w:val="20"/>
        </w:rPr>
      </w:pPr>
      <w:r w:rsidRPr="008E39D3">
        <w:rPr>
          <w:rFonts w:ascii="Arial" w:hAnsi="Arial" w:cs="Arial"/>
          <w:sz w:val="20"/>
          <w:szCs w:val="20"/>
        </w:rPr>
        <w:t xml:space="preserve">Clara De Simone </w:t>
      </w:r>
    </w:p>
    <w:p w14:paraId="55487596" w14:textId="6A9A15F2" w:rsidR="000D41CD" w:rsidRPr="00AA4E83" w:rsidRDefault="000D41CD" w:rsidP="0089713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AA4E83">
        <w:rPr>
          <w:rFonts w:ascii="Arial" w:hAnsi="Arial" w:cs="Arial"/>
          <w:i/>
          <w:iCs/>
          <w:sz w:val="20"/>
          <w:szCs w:val="20"/>
        </w:rPr>
        <w:t xml:space="preserve">Sezione di Dermatologia, Dipartimento di Medicina e Chirurgia Traslazionale, Università Cattolica del </w:t>
      </w:r>
      <w:proofErr w:type="spellStart"/>
      <w:r w:rsidRPr="00AA4E83">
        <w:rPr>
          <w:rFonts w:ascii="Arial" w:hAnsi="Arial" w:cs="Arial"/>
          <w:i/>
          <w:iCs/>
          <w:sz w:val="20"/>
          <w:szCs w:val="20"/>
        </w:rPr>
        <w:t>S.Cuore</w:t>
      </w:r>
      <w:proofErr w:type="spellEnd"/>
      <w:r w:rsidRPr="00AA4E83">
        <w:rPr>
          <w:rFonts w:ascii="Arial" w:hAnsi="Arial" w:cs="Arial"/>
          <w:i/>
          <w:iCs/>
          <w:sz w:val="20"/>
          <w:szCs w:val="20"/>
        </w:rPr>
        <w:t xml:space="preserve">  - </w:t>
      </w:r>
      <w:r w:rsidR="004F3CAA" w:rsidRPr="00AA4E83">
        <w:rPr>
          <w:rFonts w:ascii="Arial" w:hAnsi="Arial" w:cs="Arial"/>
          <w:i/>
          <w:iCs/>
          <w:sz w:val="20"/>
          <w:szCs w:val="20"/>
        </w:rPr>
        <w:t>UOC Dermatologia, Dipartimento di Scienze Mediche  e Chirurgiche, Fondazione Policlinico Universitario “</w:t>
      </w:r>
      <w:proofErr w:type="spellStart"/>
      <w:r w:rsidR="004F3CAA" w:rsidRPr="00AA4E83">
        <w:rPr>
          <w:rFonts w:ascii="Arial" w:hAnsi="Arial" w:cs="Arial"/>
          <w:i/>
          <w:iCs/>
          <w:sz w:val="20"/>
          <w:szCs w:val="20"/>
        </w:rPr>
        <w:t>A:Gemelli</w:t>
      </w:r>
      <w:proofErr w:type="spellEnd"/>
      <w:r w:rsidR="004F3CAA" w:rsidRPr="00AA4E83">
        <w:rPr>
          <w:rFonts w:ascii="Arial" w:hAnsi="Arial" w:cs="Arial"/>
          <w:i/>
          <w:iCs/>
          <w:sz w:val="20"/>
          <w:szCs w:val="20"/>
        </w:rPr>
        <w:t xml:space="preserve">”, Roma </w:t>
      </w:r>
    </w:p>
    <w:p w14:paraId="3448E243" w14:textId="3CDF4AA2" w:rsidR="00BC3E0C" w:rsidRDefault="00BC3E0C" w:rsidP="008E39D3">
      <w:pPr>
        <w:spacing w:line="276" w:lineRule="auto"/>
        <w:rPr>
          <w:rFonts w:ascii="Arial" w:hAnsi="Arial" w:cs="Arial"/>
          <w:sz w:val="20"/>
          <w:szCs w:val="20"/>
        </w:rPr>
      </w:pPr>
      <w:r w:rsidRPr="008E39D3">
        <w:rPr>
          <w:rFonts w:ascii="Arial" w:hAnsi="Arial" w:cs="Arial"/>
          <w:sz w:val="20"/>
          <w:szCs w:val="20"/>
        </w:rPr>
        <w:t>La scelta terapeutica nella psoriasi dipende dalla gravità d</w:t>
      </w:r>
      <w:r w:rsidR="002105CA" w:rsidRPr="008E39D3">
        <w:rPr>
          <w:rFonts w:ascii="Arial" w:hAnsi="Arial" w:cs="Arial"/>
          <w:sz w:val="20"/>
          <w:szCs w:val="20"/>
        </w:rPr>
        <w:t>i</w:t>
      </w:r>
      <w:r w:rsidRPr="008E39D3">
        <w:rPr>
          <w:rFonts w:ascii="Arial" w:hAnsi="Arial" w:cs="Arial"/>
          <w:sz w:val="20"/>
          <w:szCs w:val="20"/>
        </w:rPr>
        <w:t xml:space="preserve"> malattia valutata sulla base di indici clinici, come PASI e BSA, e sulla base </w:t>
      </w:r>
      <w:r w:rsidR="002105CA" w:rsidRPr="008E39D3">
        <w:rPr>
          <w:rFonts w:ascii="Arial" w:hAnsi="Arial" w:cs="Arial"/>
          <w:sz w:val="20"/>
          <w:szCs w:val="20"/>
        </w:rPr>
        <w:t xml:space="preserve">della </w:t>
      </w:r>
      <w:r w:rsidRPr="008E39D3">
        <w:rPr>
          <w:rFonts w:ascii="Arial" w:hAnsi="Arial" w:cs="Arial"/>
          <w:sz w:val="20"/>
          <w:szCs w:val="20"/>
        </w:rPr>
        <w:t xml:space="preserve">qualità di </w:t>
      </w:r>
      <w:r w:rsidR="002105CA" w:rsidRPr="008E39D3">
        <w:rPr>
          <w:rFonts w:ascii="Arial" w:hAnsi="Arial" w:cs="Arial"/>
          <w:sz w:val="20"/>
          <w:szCs w:val="20"/>
        </w:rPr>
        <w:t>vita, valutata</w:t>
      </w:r>
      <w:r w:rsidRPr="008E39D3">
        <w:rPr>
          <w:rFonts w:ascii="Arial" w:hAnsi="Arial" w:cs="Arial"/>
          <w:sz w:val="20"/>
          <w:szCs w:val="20"/>
        </w:rPr>
        <w:t xml:space="preserve"> tramite DLQI</w:t>
      </w:r>
      <w:r w:rsidR="002105CA" w:rsidRPr="008E39D3">
        <w:rPr>
          <w:rFonts w:ascii="Arial" w:hAnsi="Arial" w:cs="Arial"/>
          <w:sz w:val="20"/>
          <w:szCs w:val="20"/>
        </w:rPr>
        <w:t>,</w:t>
      </w:r>
      <w:r w:rsidRPr="008E39D3">
        <w:rPr>
          <w:rFonts w:ascii="Arial" w:hAnsi="Arial" w:cs="Arial"/>
          <w:sz w:val="20"/>
          <w:szCs w:val="20"/>
        </w:rPr>
        <w:t xml:space="preserve"> ma è condizionata anche da altri fattori </w:t>
      </w:r>
      <w:r w:rsidR="002105CA" w:rsidRPr="008E39D3">
        <w:rPr>
          <w:rFonts w:ascii="Arial" w:hAnsi="Arial" w:cs="Arial"/>
          <w:sz w:val="20"/>
          <w:szCs w:val="20"/>
        </w:rPr>
        <w:t>come ad</w:t>
      </w:r>
      <w:r w:rsidRPr="008E39D3">
        <w:rPr>
          <w:rFonts w:ascii="Arial" w:hAnsi="Arial" w:cs="Arial"/>
          <w:sz w:val="20"/>
          <w:szCs w:val="20"/>
        </w:rPr>
        <w:t xml:space="preserve"> esempio la localizzazione in sedi sensibili  o le comorbidità  concomitanti. </w:t>
      </w:r>
      <w:r w:rsidR="002105CA" w:rsidRPr="008E39D3">
        <w:rPr>
          <w:rFonts w:ascii="Arial" w:hAnsi="Arial" w:cs="Arial"/>
          <w:sz w:val="20"/>
          <w:szCs w:val="20"/>
        </w:rPr>
        <w:t>U</w:t>
      </w:r>
      <w:r w:rsidRPr="008E39D3">
        <w:rPr>
          <w:rFonts w:ascii="Arial" w:hAnsi="Arial" w:cs="Arial"/>
          <w:sz w:val="20"/>
          <w:szCs w:val="20"/>
        </w:rPr>
        <w:t xml:space="preserve">na </w:t>
      </w:r>
      <w:r w:rsidR="00574879">
        <w:rPr>
          <w:rFonts w:ascii="Arial" w:hAnsi="Arial" w:cs="Arial"/>
          <w:sz w:val="20"/>
          <w:szCs w:val="20"/>
        </w:rPr>
        <w:t xml:space="preserve">migliore </w:t>
      </w:r>
      <w:r w:rsidRPr="008E39D3">
        <w:rPr>
          <w:rFonts w:ascii="Arial" w:hAnsi="Arial" w:cs="Arial"/>
          <w:sz w:val="20"/>
          <w:szCs w:val="20"/>
        </w:rPr>
        <w:t>comprensione della patofisiologia della psoriasi ha permesso lo sviluppo di un numero crescente di trattamenti efficaci e sicuri, compresi i biologici</w:t>
      </w:r>
      <w:r w:rsidR="002105CA" w:rsidRPr="008E39D3">
        <w:rPr>
          <w:rFonts w:ascii="Arial" w:hAnsi="Arial" w:cs="Arial"/>
          <w:sz w:val="20"/>
          <w:szCs w:val="20"/>
        </w:rPr>
        <w:t>,</w:t>
      </w:r>
      <w:r w:rsidRPr="008E39D3">
        <w:rPr>
          <w:rFonts w:ascii="Arial" w:hAnsi="Arial" w:cs="Arial"/>
          <w:sz w:val="20"/>
          <w:szCs w:val="20"/>
        </w:rPr>
        <w:t xml:space="preserve"> che sono indicati per la psoriasi da moderata a grave. La definizione del ruolo </w:t>
      </w:r>
      <w:r w:rsidR="009B4FFE" w:rsidRPr="008E39D3">
        <w:rPr>
          <w:rFonts w:ascii="Arial" w:hAnsi="Arial" w:cs="Arial"/>
          <w:sz w:val="20"/>
          <w:szCs w:val="20"/>
        </w:rPr>
        <w:t xml:space="preserve">patogenetico fondamentale dell’asse IL-23/Th17 ha consentito di ampliare l’armamentario </w:t>
      </w:r>
      <w:r w:rsidR="002105CA" w:rsidRPr="008E39D3">
        <w:rPr>
          <w:rFonts w:ascii="Arial" w:hAnsi="Arial" w:cs="Arial"/>
          <w:sz w:val="20"/>
          <w:szCs w:val="20"/>
        </w:rPr>
        <w:t>terapeutico che</w:t>
      </w:r>
      <w:r w:rsidR="009B4FFE" w:rsidRPr="008E39D3">
        <w:rPr>
          <w:rFonts w:ascii="Arial" w:hAnsi="Arial" w:cs="Arial"/>
          <w:sz w:val="20"/>
          <w:szCs w:val="20"/>
        </w:rPr>
        <w:t xml:space="preserve"> attualmente include accanto agli inibitori del TNF alpha (infliximab, </w:t>
      </w:r>
      <w:proofErr w:type="spellStart"/>
      <w:r w:rsidR="009B4FFE" w:rsidRPr="008E39D3">
        <w:rPr>
          <w:rFonts w:ascii="Arial" w:hAnsi="Arial" w:cs="Arial"/>
          <w:sz w:val="20"/>
          <w:szCs w:val="20"/>
        </w:rPr>
        <w:t>adalimumab</w:t>
      </w:r>
      <w:proofErr w:type="spellEnd"/>
      <w:r w:rsidR="009B4FFE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4FFE" w:rsidRPr="008E39D3">
        <w:rPr>
          <w:rFonts w:ascii="Arial" w:hAnsi="Arial" w:cs="Arial"/>
          <w:sz w:val="20"/>
          <w:szCs w:val="20"/>
        </w:rPr>
        <w:t>certolizumab-pegol,etancercept</w:t>
      </w:r>
      <w:proofErr w:type="spellEnd"/>
      <w:r w:rsidR="009B4FFE" w:rsidRPr="008E39D3">
        <w:rPr>
          <w:rFonts w:ascii="Arial" w:hAnsi="Arial" w:cs="Arial"/>
          <w:sz w:val="20"/>
          <w:szCs w:val="20"/>
        </w:rPr>
        <w:t>), e all’</w:t>
      </w:r>
      <w:proofErr w:type="spellStart"/>
      <w:r w:rsidR="009B4FFE" w:rsidRPr="008E39D3">
        <w:rPr>
          <w:rFonts w:ascii="Arial" w:hAnsi="Arial" w:cs="Arial"/>
          <w:sz w:val="20"/>
          <w:szCs w:val="20"/>
        </w:rPr>
        <w:t>ustekinumab</w:t>
      </w:r>
      <w:proofErr w:type="spellEnd"/>
      <w:r w:rsidR="009B4FFE" w:rsidRPr="008E39D3">
        <w:rPr>
          <w:rFonts w:ascii="Arial" w:hAnsi="Arial" w:cs="Arial"/>
          <w:sz w:val="20"/>
          <w:szCs w:val="20"/>
        </w:rPr>
        <w:t xml:space="preserve">  farmaci biologici che bloccano in maniera selettiva l’IL-23 (</w:t>
      </w:r>
      <w:proofErr w:type="spellStart"/>
      <w:r w:rsidR="009B4FFE" w:rsidRPr="008E39D3">
        <w:rPr>
          <w:rFonts w:ascii="Arial" w:hAnsi="Arial" w:cs="Arial"/>
          <w:sz w:val="20"/>
          <w:szCs w:val="20"/>
        </w:rPr>
        <w:t>guselkumab</w:t>
      </w:r>
      <w:proofErr w:type="spellEnd"/>
      <w:r w:rsidR="009B4FFE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4FFE" w:rsidRPr="008E39D3">
        <w:rPr>
          <w:rFonts w:ascii="Arial" w:hAnsi="Arial" w:cs="Arial"/>
          <w:sz w:val="20"/>
          <w:szCs w:val="20"/>
        </w:rPr>
        <w:t>tildrakizumab</w:t>
      </w:r>
      <w:proofErr w:type="spellEnd"/>
      <w:r w:rsidR="009B4FFE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4FFE" w:rsidRPr="008E39D3">
        <w:rPr>
          <w:rFonts w:ascii="Arial" w:hAnsi="Arial" w:cs="Arial"/>
          <w:sz w:val="20"/>
          <w:szCs w:val="20"/>
        </w:rPr>
        <w:t>risankizumab</w:t>
      </w:r>
      <w:proofErr w:type="spellEnd"/>
      <w:r w:rsidR="009B4FFE" w:rsidRPr="008E39D3">
        <w:rPr>
          <w:rFonts w:ascii="Arial" w:hAnsi="Arial" w:cs="Arial"/>
          <w:sz w:val="20"/>
          <w:szCs w:val="20"/>
        </w:rPr>
        <w:t xml:space="preserve">) e l’IL-17 </w:t>
      </w:r>
      <w:r w:rsidR="008759E0" w:rsidRPr="008E39D3">
        <w:rPr>
          <w:rFonts w:ascii="Arial" w:hAnsi="Arial" w:cs="Arial"/>
          <w:sz w:val="20"/>
          <w:szCs w:val="20"/>
        </w:rPr>
        <w:t xml:space="preserve">( </w:t>
      </w:r>
      <w:proofErr w:type="spellStart"/>
      <w:r w:rsidR="008759E0" w:rsidRPr="008E39D3">
        <w:rPr>
          <w:rFonts w:ascii="Arial" w:hAnsi="Arial" w:cs="Arial"/>
          <w:sz w:val="20"/>
          <w:szCs w:val="20"/>
        </w:rPr>
        <w:t>secukinumab</w:t>
      </w:r>
      <w:proofErr w:type="spellEnd"/>
      <w:r w:rsidR="008759E0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59E0" w:rsidRPr="008E39D3">
        <w:rPr>
          <w:rFonts w:ascii="Arial" w:hAnsi="Arial" w:cs="Arial"/>
          <w:sz w:val="20"/>
          <w:szCs w:val="20"/>
        </w:rPr>
        <w:t>ixekizumab</w:t>
      </w:r>
      <w:proofErr w:type="spellEnd"/>
      <w:r w:rsidR="008759E0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59E0" w:rsidRPr="008E39D3">
        <w:rPr>
          <w:rFonts w:ascii="Arial" w:hAnsi="Arial" w:cs="Arial"/>
          <w:sz w:val="20"/>
          <w:szCs w:val="20"/>
        </w:rPr>
        <w:t>bimekizumab</w:t>
      </w:r>
      <w:proofErr w:type="spellEnd"/>
      <w:r w:rsidR="008759E0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59E0" w:rsidRPr="008E39D3">
        <w:rPr>
          <w:rFonts w:ascii="Arial" w:hAnsi="Arial" w:cs="Arial"/>
          <w:sz w:val="20"/>
          <w:szCs w:val="20"/>
        </w:rPr>
        <w:t>brodalumab</w:t>
      </w:r>
      <w:proofErr w:type="spellEnd"/>
      <w:r w:rsidR="008759E0" w:rsidRPr="008E39D3">
        <w:rPr>
          <w:rFonts w:ascii="Arial" w:hAnsi="Arial" w:cs="Arial"/>
          <w:sz w:val="20"/>
          <w:szCs w:val="20"/>
        </w:rPr>
        <w:t>).</w:t>
      </w:r>
      <w:r w:rsidR="005A100D" w:rsidRPr="008E39D3">
        <w:rPr>
          <w:rFonts w:ascii="Arial" w:hAnsi="Arial" w:cs="Arial"/>
          <w:sz w:val="20"/>
          <w:szCs w:val="20"/>
        </w:rPr>
        <w:t xml:space="preserve"> La terapia della psoriasi moderata-grave può avvalersi anche </w:t>
      </w:r>
      <w:r w:rsidR="002105CA" w:rsidRPr="008E39D3">
        <w:rPr>
          <w:rFonts w:ascii="Arial" w:hAnsi="Arial" w:cs="Arial"/>
          <w:sz w:val="20"/>
          <w:szCs w:val="20"/>
        </w:rPr>
        <w:t>di nuove</w:t>
      </w:r>
      <w:r w:rsidR="005A100D" w:rsidRPr="008E39D3">
        <w:rPr>
          <w:rFonts w:ascii="Arial" w:hAnsi="Arial" w:cs="Arial"/>
          <w:sz w:val="20"/>
          <w:szCs w:val="20"/>
        </w:rPr>
        <w:t xml:space="preserve"> terapie orali a base di “small </w:t>
      </w:r>
      <w:proofErr w:type="spellStart"/>
      <w:r w:rsidR="005A100D" w:rsidRPr="008E39D3">
        <w:rPr>
          <w:rFonts w:ascii="Arial" w:hAnsi="Arial" w:cs="Arial"/>
          <w:sz w:val="20"/>
          <w:szCs w:val="20"/>
        </w:rPr>
        <w:t>molecules</w:t>
      </w:r>
      <w:proofErr w:type="spellEnd"/>
      <w:r w:rsidR="005A100D" w:rsidRPr="008E39D3">
        <w:rPr>
          <w:rFonts w:ascii="Arial" w:hAnsi="Arial" w:cs="Arial"/>
          <w:sz w:val="20"/>
          <w:szCs w:val="20"/>
        </w:rPr>
        <w:t>”</w:t>
      </w:r>
      <w:r w:rsidR="000C5C98" w:rsidRPr="008E39D3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0C5C98" w:rsidRPr="008E39D3">
        <w:rPr>
          <w:rFonts w:ascii="Arial" w:hAnsi="Arial" w:cs="Arial"/>
          <w:sz w:val="20"/>
          <w:szCs w:val="20"/>
        </w:rPr>
        <w:t>apremilast</w:t>
      </w:r>
      <w:proofErr w:type="spellEnd"/>
      <w:r w:rsidR="000C5C98" w:rsidRPr="008E39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C5C98" w:rsidRPr="008E39D3">
        <w:rPr>
          <w:rFonts w:ascii="Arial" w:hAnsi="Arial" w:cs="Arial"/>
          <w:sz w:val="20"/>
          <w:szCs w:val="20"/>
        </w:rPr>
        <w:t>deucrevacitinib</w:t>
      </w:r>
      <w:proofErr w:type="spellEnd"/>
      <w:r w:rsidR="000C5C98" w:rsidRPr="008E39D3">
        <w:rPr>
          <w:rFonts w:ascii="Arial" w:hAnsi="Arial" w:cs="Arial"/>
          <w:sz w:val="20"/>
          <w:szCs w:val="20"/>
        </w:rPr>
        <w:t xml:space="preserve">) </w:t>
      </w:r>
      <w:r w:rsidR="005A100D" w:rsidRPr="008E39D3">
        <w:rPr>
          <w:rFonts w:ascii="Arial" w:hAnsi="Arial" w:cs="Arial"/>
          <w:sz w:val="20"/>
          <w:szCs w:val="20"/>
        </w:rPr>
        <w:t xml:space="preserve">, il cui rilievo dipende dalla preferenza che alcuni pazienti </w:t>
      </w:r>
      <w:r w:rsidR="002105CA" w:rsidRPr="008E39D3">
        <w:rPr>
          <w:rFonts w:ascii="Arial" w:hAnsi="Arial" w:cs="Arial"/>
          <w:sz w:val="20"/>
          <w:szCs w:val="20"/>
        </w:rPr>
        <w:t xml:space="preserve">possono </w:t>
      </w:r>
      <w:r w:rsidR="005A100D" w:rsidRPr="008E39D3">
        <w:rPr>
          <w:rFonts w:ascii="Arial" w:hAnsi="Arial" w:cs="Arial"/>
          <w:sz w:val="20"/>
          <w:szCs w:val="20"/>
        </w:rPr>
        <w:t>avere per   questa modalità di somministrazione e da un profilo rischio-beneficio alternativo</w:t>
      </w:r>
      <w:r w:rsidR="000C5C98" w:rsidRPr="008E39D3">
        <w:rPr>
          <w:rFonts w:ascii="Arial" w:hAnsi="Arial" w:cs="Arial"/>
          <w:sz w:val="20"/>
          <w:szCs w:val="20"/>
        </w:rPr>
        <w:t xml:space="preserve">. A fronte dei notevoli progressi ottenuti per la terapia sistemica della </w:t>
      </w:r>
      <w:r w:rsidR="002105CA" w:rsidRPr="008E39D3">
        <w:rPr>
          <w:rFonts w:ascii="Arial" w:hAnsi="Arial" w:cs="Arial"/>
          <w:sz w:val="20"/>
          <w:szCs w:val="20"/>
        </w:rPr>
        <w:t>psoriasi,</w:t>
      </w:r>
      <w:r w:rsidR="000C5C98" w:rsidRPr="008E39D3">
        <w:rPr>
          <w:rFonts w:ascii="Arial" w:hAnsi="Arial" w:cs="Arial"/>
          <w:sz w:val="20"/>
          <w:szCs w:val="20"/>
        </w:rPr>
        <w:t xml:space="preserve"> le necessità </w:t>
      </w:r>
      <w:r w:rsidR="002105CA" w:rsidRPr="008E39D3">
        <w:rPr>
          <w:rFonts w:ascii="Arial" w:hAnsi="Arial" w:cs="Arial"/>
          <w:sz w:val="20"/>
          <w:szCs w:val="20"/>
        </w:rPr>
        <w:t>de</w:t>
      </w:r>
      <w:r w:rsidR="000C5C98" w:rsidRPr="008E39D3">
        <w:rPr>
          <w:rFonts w:ascii="Arial" w:hAnsi="Arial" w:cs="Arial"/>
          <w:sz w:val="20"/>
          <w:szCs w:val="20"/>
        </w:rPr>
        <w:t xml:space="preserve">i pazienti affetti da forme lievi per i quali è indicata </w:t>
      </w:r>
      <w:r w:rsidR="009A22C8" w:rsidRPr="008E39D3">
        <w:rPr>
          <w:rFonts w:ascii="Arial" w:hAnsi="Arial" w:cs="Arial"/>
          <w:sz w:val="20"/>
          <w:szCs w:val="20"/>
        </w:rPr>
        <w:t>la terapia</w:t>
      </w:r>
      <w:r w:rsidR="000C5C98" w:rsidRPr="008E39D3">
        <w:rPr>
          <w:rFonts w:ascii="Arial" w:hAnsi="Arial" w:cs="Arial"/>
          <w:sz w:val="20"/>
          <w:szCs w:val="20"/>
        </w:rPr>
        <w:t xml:space="preserve"> locale rimangono in gran parte insoddisfatte. </w:t>
      </w:r>
      <w:r w:rsidR="009A22C8" w:rsidRPr="008E39D3">
        <w:rPr>
          <w:rFonts w:ascii="Arial" w:hAnsi="Arial" w:cs="Arial"/>
          <w:sz w:val="20"/>
          <w:szCs w:val="20"/>
        </w:rPr>
        <w:t>L</w:t>
      </w:r>
      <w:r w:rsidR="000C5C98" w:rsidRPr="008E39D3">
        <w:rPr>
          <w:rFonts w:ascii="Arial" w:hAnsi="Arial" w:cs="Arial"/>
          <w:sz w:val="20"/>
          <w:szCs w:val="20"/>
        </w:rPr>
        <w:t>e linee guida suggeriscono in prima linea</w:t>
      </w:r>
      <w:r w:rsidR="009A22C8" w:rsidRPr="008E39D3">
        <w:rPr>
          <w:rFonts w:ascii="Arial" w:hAnsi="Arial" w:cs="Arial"/>
          <w:sz w:val="20"/>
          <w:szCs w:val="20"/>
        </w:rPr>
        <w:t xml:space="preserve"> </w:t>
      </w:r>
      <w:r w:rsidR="000C5C98" w:rsidRPr="008E39D3">
        <w:rPr>
          <w:rFonts w:ascii="Arial" w:hAnsi="Arial" w:cs="Arial"/>
          <w:sz w:val="20"/>
          <w:szCs w:val="20"/>
        </w:rPr>
        <w:t xml:space="preserve">l’associazione </w:t>
      </w:r>
      <w:proofErr w:type="spellStart"/>
      <w:r w:rsidR="000C5C98" w:rsidRPr="008E39D3">
        <w:rPr>
          <w:rFonts w:ascii="Arial" w:hAnsi="Arial" w:cs="Arial"/>
          <w:sz w:val="20"/>
          <w:szCs w:val="20"/>
        </w:rPr>
        <w:t>calcipotriolo</w:t>
      </w:r>
      <w:proofErr w:type="spellEnd"/>
      <w:r w:rsidR="000C5C98" w:rsidRPr="008E39D3">
        <w:rPr>
          <w:rFonts w:ascii="Arial" w:hAnsi="Arial" w:cs="Arial"/>
          <w:sz w:val="20"/>
          <w:szCs w:val="20"/>
        </w:rPr>
        <w:t>/</w:t>
      </w:r>
      <w:proofErr w:type="spellStart"/>
      <w:r w:rsidR="000C5C98" w:rsidRPr="008E39D3">
        <w:rPr>
          <w:rFonts w:ascii="Arial" w:hAnsi="Arial" w:cs="Arial"/>
          <w:sz w:val="20"/>
          <w:szCs w:val="20"/>
        </w:rPr>
        <w:t>betametasone</w:t>
      </w:r>
      <w:proofErr w:type="spellEnd"/>
      <w:r w:rsidR="009A22C8" w:rsidRPr="008E39D3">
        <w:rPr>
          <w:rFonts w:ascii="Arial" w:hAnsi="Arial" w:cs="Arial"/>
          <w:sz w:val="20"/>
          <w:szCs w:val="20"/>
        </w:rPr>
        <w:t>,</w:t>
      </w:r>
      <w:r w:rsidR="000C5C98" w:rsidRPr="008E39D3">
        <w:rPr>
          <w:rFonts w:ascii="Arial" w:hAnsi="Arial" w:cs="Arial"/>
          <w:sz w:val="20"/>
          <w:szCs w:val="20"/>
        </w:rPr>
        <w:t xml:space="preserve"> disponibile in formulazioni che spesso non rispondono a criteri di accettabilità cosmetica</w:t>
      </w:r>
      <w:r w:rsidR="002105CA" w:rsidRPr="008E39D3">
        <w:rPr>
          <w:rFonts w:ascii="Arial" w:hAnsi="Arial" w:cs="Arial"/>
          <w:sz w:val="20"/>
          <w:szCs w:val="20"/>
        </w:rPr>
        <w:t>,</w:t>
      </w:r>
      <w:r w:rsidR="000C5C98" w:rsidRPr="008E39D3">
        <w:rPr>
          <w:rFonts w:ascii="Arial" w:hAnsi="Arial" w:cs="Arial"/>
          <w:sz w:val="20"/>
          <w:szCs w:val="20"/>
        </w:rPr>
        <w:t xml:space="preserve"> importanti per una terapia locale</w:t>
      </w:r>
      <w:r w:rsidR="002105CA" w:rsidRPr="008E39D3">
        <w:rPr>
          <w:rFonts w:ascii="Arial" w:hAnsi="Arial" w:cs="Arial"/>
          <w:sz w:val="20"/>
          <w:szCs w:val="20"/>
        </w:rPr>
        <w:t>,</w:t>
      </w:r>
      <w:r w:rsidR="000C5C98" w:rsidRPr="008E39D3">
        <w:rPr>
          <w:rFonts w:ascii="Arial" w:hAnsi="Arial" w:cs="Arial"/>
          <w:sz w:val="20"/>
          <w:szCs w:val="20"/>
        </w:rPr>
        <w:t xml:space="preserve"> in quanto condizionano l’aderenza e quindi l’efficacia del trattamento. </w:t>
      </w:r>
      <w:r w:rsidR="00CC07A4" w:rsidRPr="008E39D3">
        <w:rPr>
          <w:rFonts w:ascii="Arial" w:hAnsi="Arial" w:cs="Arial"/>
          <w:sz w:val="20"/>
          <w:szCs w:val="20"/>
        </w:rPr>
        <w:t xml:space="preserve">Recenti innovazioni in termini di terapia locale propongono infatti veicoli dotati di una maggiore gradevolezza cosmetica e schemi </w:t>
      </w:r>
      <w:r w:rsidR="00E545EA" w:rsidRPr="008E39D3">
        <w:rPr>
          <w:rFonts w:ascii="Arial" w:hAnsi="Arial" w:cs="Arial"/>
          <w:sz w:val="20"/>
          <w:szCs w:val="20"/>
        </w:rPr>
        <w:t xml:space="preserve">posologici per </w:t>
      </w:r>
      <w:r w:rsidR="009A22C8" w:rsidRPr="008E39D3">
        <w:rPr>
          <w:rFonts w:ascii="Arial" w:hAnsi="Arial" w:cs="Arial"/>
          <w:sz w:val="20"/>
          <w:szCs w:val="20"/>
        </w:rPr>
        <w:t xml:space="preserve">standardizzare </w:t>
      </w:r>
      <w:r w:rsidR="00E545EA" w:rsidRPr="008E39D3">
        <w:rPr>
          <w:rFonts w:ascii="Arial" w:hAnsi="Arial" w:cs="Arial"/>
          <w:sz w:val="20"/>
          <w:szCs w:val="20"/>
        </w:rPr>
        <w:t>un trattamento a lungo termine.</w:t>
      </w:r>
    </w:p>
    <w:p w14:paraId="0E24663E" w14:textId="257309E7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p w14:paraId="494FB14B" w14:textId="2E584FB2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Domande ECM</w:t>
      </w:r>
    </w:p>
    <w:p w14:paraId="04004BB3" w14:textId="444FDD70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Brodalumab</w:t>
      </w:r>
      <w:proofErr w:type="spellEnd"/>
      <w:r>
        <w:rPr>
          <w:rFonts w:ascii="Arial" w:hAnsi="Arial" w:cs="Arial"/>
          <w:sz w:val="20"/>
          <w:szCs w:val="20"/>
        </w:rPr>
        <w:t xml:space="preserve"> è un anticorpo monoclonale diretto contro</w:t>
      </w:r>
    </w:p>
    <w:p w14:paraId="43B56AB8" w14:textId="77777777" w:rsidR="009C6808" w:rsidRDefault="009C6808" w:rsidP="009C68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IL-17</w:t>
      </w:r>
    </w:p>
    <w:p w14:paraId="21CBE8EA" w14:textId="41EA7D68" w:rsidR="009C6808" w:rsidRPr="002E374E" w:rsidRDefault="009C6808" w:rsidP="009C680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E374E">
        <w:rPr>
          <w:rFonts w:ascii="Arial" w:hAnsi="Arial" w:cs="Arial"/>
          <w:b/>
          <w:bCs/>
          <w:sz w:val="20"/>
          <w:szCs w:val="20"/>
        </w:rPr>
        <w:t>Recettore dell’ IL-17</w:t>
      </w:r>
    </w:p>
    <w:p w14:paraId="46EEF112" w14:textId="0FC0550E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IL-23</w:t>
      </w:r>
    </w:p>
    <w:p w14:paraId="7B4024C9" w14:textId="5BD9CD28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Recettore dell’IL-23</w:t>
      </w:r>
    </w:p>
    <w:p w14:paraId="4DA05138" w14:textId="1A58BB72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p w14:paraId="591BBFAE" w14:textId="313A60B3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Bimekizumab</w:t>
      </w:r>
      <w:proofErr w:type="spellEnd"/>
      <w:r>
        <w:rPr>
          <w:rFonts w:ascii="Arial" w:hAnsi="Arial" w:cs="Arial"/>
          <w:sz w:val="20"/>
          <w:szCs w:val="20"/>
        </w:rPr>
        <w:t xml:space="preserve"> è un anticorpo monoclonale diretto contro</w:t>
      </w:r>
    </w:p>
    <w:p w14:paraId="279C780A" w14:textId="01FA9BC4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Esclusivamente IL-17A </w:t>
      </w:r>
    </w:p>
    <w:p w14:paraId="06364C67" w14:textId="5D05F2A4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Esclusivamente IL-17F</w:t>
      </w:r>
    </w:p>
    <w:p w14:paraId="483A5FF5" w14:textId="5E4B92E9" w:rsidR="009C6808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Esclusivamente IL-17C</w:t>
      </w:r>
    </w:p>
    <w:p w14:paraId="144FEDE2" w14:textId="05300122" w:rsidR="009C6808" w:rsidRPr="002E374E" w:rsidRDefault="009C6808" w:rsidP="008E39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E374E">
        <w:rPr>
          <w:rFonts w:ascii="Arial" w:hAnsi="Arial" w:cs="Arial"/>
          <w:b/>
          <w:bCs/>
          <w:sz w:val="20"/>
          <w:szCs w:val="20"/>
        </w:rPr>
        <w:t>IL-17 A e IL 17 F</w:t>
      </w:r>
    </w:p>
    <w:p w14:paraId="1DA83292" w14:textId="58A8CDE0" w:rsidR="00E37C6E" w:rsidRDefault="00E37C6E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p w14:paraId="5C0B5197" w14:textId="77777777" w:rsidR="002E374E" w:rsidRDefault="002E374E" w:rsidP="00E37C6E">
      <w:pPr>
        <w:rPr>
          <w:sz w:val="24"/>
          <w:szCs w:val="24"/>
        </w:rPr>
      </w:pPr>
    </w:p>
    <w:p w14:paraId="0D7ADEE8" w14:textId="77777777" w:rsidR="00CE3E0C" w:rsidRDefault="00CE3E0C" w:rsidP="00E37C6E">
      <w:pPr>
        <w:rPr>
          <w:sz w:val="24"/>
          <w:szCs w:val="24"/>
        </w:rPr>
      </w:pPr>
    </w:p>
    <w:p w14:paraId="0DD8621B" w14:textId="13E32E7B" w:rsidR="00E37C6E" w:rsidRDefault="002E374E" w:rsidP="00E37C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E37C6E" w:rsidRPr="006157C0">
        <w:rPr>
          <w:sz w:val="24"/>
          <w:szCs w:val="24"/>
        </w:rPr>
        <w:t xml:space="preserve">a combinazione </w:t>
      </w:r>
      <w:proofErr w:type="spellStart"/>
      <w:r w:rsidR="00E37C6E" w:rsidRPr="006157C0">
        <w:rPr>
          <w:sz w:val="24"/>
          <w:szCs w:val="24"/>
        </w:rPr>
        <w:t>Calcipotriolo</w:t>
      </w:r>
      <w:proofErr w:type="spellEnd"/>
      <w:r w:rsidR="00E37C6E" w:rsidRPr="006157C0">
        <w:rPr>
          <w:sz w:val="24"/>
          <w:szCs w:val="24"/>
        </w:rPr>
        <w:t xml:space="preserve">/ </w:t>
      </w:r>
      <w:proofErr w:type="spellStart"/>
      <w:r w:rsidR="00E37C6E" w:rsidRPr="006157C0">
        <w:rPr>
          <w:sz w:val="24"/>
          <w:szCs w:val="24"/>
        </w:rPr>
        <w:t>Betametasone</w:t>
      </w:r>
      <w:proofErr w:type="spellEnd"/>
      <w:r w:rsidR="00E37C6E" w:rsidRPr="00615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schiuma viene preferibilmente usata in maniera pro-attiva  nel lungo termine con una applicazione </w:t>
      </w:r>
    </w:p>
    <w:p w14:paraId="41384DBF" w14:textId="77777777" w:rsidR="00E37C6E" w:rsidRDefault="00E37C6E" w:rsidP="00E37C6E">
      <w:pPr>
        <w:rPr>
          <w:sz w:val="24"/>
          <w:szCs w:val="24"/>
        </w:rPr>
      </w:pPr>
      <w:r>
        <w:rPr>
          <w:sz w:val="24"/>
          <w:szCs w:val="24"/>
        </w:rPr>
        <w:t xml:space="preserve">Una volta alla settimana </w:t>
      </w:r>
    </w:p>
    <w:p w14:paraId="280B6B1C" w14:textId="77777777" w:rsidR="00E37C6E" w:rsidRPr="00691ADA" w:rsidRDefault="00E37C6E" w:rsidP="00E37C6E">
      <w:pPr>
        <w:rPr>
          <w:b/>
          <w:bCs/>
          <w:sz w:val="24"/>
          <w:szCs w:val="24"/>
        </w:rPr>
      </w:pPr>
      <w:r w:rsidRPr="00691ADA">
        <w:rPr>
          <w:b/>
          <w:bCs/>
          <w:sz w:val="24"/>
          <w:szCs w:val="24"/>
        </w:rPr>
        <w:t>In giorni fissi, due volte alla settimana</w:t>
      </w:r>
    </w:p>
    <w:p w14:paraId="5918D907" w14:textId="77777777" w:rsidR="00E37C6E" w:rsidRDefault="00E37C6E" w:rsidP="00E37C6E">
      <w:pPr>
        <w:rPr>
          <w:sz w:val="24"/>
          <w:szCs w:val="24"/>
        </w:rPr>
      </w:pPr>
      <w:r>
        <w:rPr>
          <w:sz w:val="24"/>
          <w:szCs w:val="24"/>
        </w:rPr>
        <w:t xml:space="preserve">In giorni fissi, tre volte alla settimana </w:t>
      </w:r>
    </w:p>
    <w:p w14:paraId="294AC2CD" w14:textId="7B88D737" w:rsidR="00E37C6E" w:rsidRDefault="00E37C6E" w:rsidP="00E37C6E">
      <w:pPr>
        <w:rPr>
          <w:sz w:val="24"/>
          <w:szCs w:val="24"/>
        </w:rPr>
      </w:pPr>
      <w:r>
        <w:rPr>
          <w:sz w:val="24"/>
          <w:szCs w:val="24"/>
        </w:rPr>
        <w:t>Una volta ogni dieci giorni</w:t>
      </w:r>
    </w:p>
    <w:p w14:paraId="4BB5579C" w14:textId="06EED49E" w:rsidR="00771C11" w:rsidRDefault="00771C11" w:rsidP="00E37C6E">
      <w:pPr>
        <w:rPr>
          <w:sz w:val="24"/>
          <w:szCs w:val="24"/>
        </w:rPr>
      </w:pPr>
    </w:p>
    <w:p w14:paraId="135F55D1" w14:textId="57AB7448" w:rsidR="00771C11" w:rsidRDefault="00771C11" w:rsidP="00E37C6E">
      <w:pPr>
        <w:rPr>
          <w:sz w:val="24"/>
          <w:szCs w:val="24"/>
        </w:rPr>
      </w:pPr>
      <w:r w:rsidRPr="00771C11">
        <w:rPr>
          <w:sz w:val="24"/>
          <w:szCs w:val="24"/>
        </w:rPr>
        <w:t xml:space="preserve">Le “small </w:t>
      </w:r>
      <w:proofErr w:type="spellStart"/>
      <w:r w:rsidRPr="00771C11">
        <w:rPr>
          <w:sz w:val="24"/>
          <w:szCs w:val="24"/>
        </w:rPr>
        <w:t>malecules</w:t>
      </w:r>
      <w:proofErr w:type="spellEnd"/>
      <w:r w:rsidRPr="00771C11">
        <w:rPr>
          <w:sz w:val="24"/>
          <w:szCs w:val="24"/>
        </w:rPr>
        <w:t>” (</w:t>
      </w:r>
      <w:proofErr w:type="spellStart"/>
      <w:r w:rsidRPr="00771C11">
        <w:rPr>
          <w:sz w:val="24"/>
          <w:szCs w:val="24"/>
        </w:rPr>
        <w:t>apremilast</w:t>
      </w:r>
      <w:proofErr w:type="spellEnd"/>
      <w:r w:rsidRPr="00771C11">
        <w:rPr>
          <w:sz w:val="24"/>
          <w:szCs w:val="24"/>
        </w:rPr>
        <w:t xml:space="preserve">, </w:t>
      </w:r>
      <w:proofErr w:type="spellStart"/>
      <w:r w:rsidRPr="00771C11">
        <w:rPr>
          <w:sz w:val="24"/>
          <w:szCs w:val="24"/>
        </w:rPr>
        <w:t>deuc</w:t>
      </w:r>
      <w:r w:rsidR="001254C2">
        <w:rPr>
          <w:sz w:val="24"/>
          <w:szCs w:val="24"/>
        </w:rPr>
        <w:t>r</w:t>
      </w:r>
      <w:r w:rsidRPr="00771C11">
        <w:rPr>
          <w:sz w:val="24"/>
          <w:szCs w:val="24"/>
        </w:rPr>
        <w:t>avacitinib</w:t>
      </w:r>
      <w:proofErr w:type="spellEnd"/>
      <w:r w:rsidRPr="00771C11">
        <w:rPr>
          <w:sz w:val="24"/>
          <w:szCs w:val="24"/>
        </w:rPr>
        <w:t>) per la t</w:t>
      </w:r>
      <w:r>
        <w:rPr>
          <w:sz w:val="24"/>
          <w:szCs w:val="24"/>
        </w:rPr>
        <w:t>erapia della psoriasi vengono somministrate per via</w:t>
      </w:r>
    </w:p>
    <w:p w14:paraId="2542E294" w14:textId="39D71A02" w:rsidR="00771C11" w:rsidRPr="00771C11" w:rsidRDefault="00771C11" w:rsidP="00E37C6E">
      <w:pPr>
        <w:rPr>
          <w:b/>
          <w:bCs/>
          <w:sz w:val="24"/>
          <w:szCs w:val="24"/>
        </w:rPr>
      </w:pPr>
      <w:r w:rsidRPr="00771C11">
        <w:rPr>
          <w:b/>
          <w:bCs/>
          <w:sz w:val="24"/>
          <w:szCs w:val="24"/>
        </w:rPr>
        <w:t>Orale</w:t>
      </w:r>
    </w:p>
    <w:p w14:paraId="6A42963E" w14:textId="59F7822E" w:rsidR="00771C11" w:rsidRDefault="00771C11" w:rsidP="00E37C6E">
      <w:pPr>
        <w:rPr>
          <w:sz w:val="24"/>
          <w:szCs w:val="24"/>
        </w:rPr>
      </w:pPr>
      <w:r>
        <w:rPr>
          <w:sz w:val="24"/>
          <w:szCs w:val="24"/>
        </w:rPr>
        <w:t>Endovenosa</w:t>
      </w:r>
    </w:p>
    <w:p w14:paraId="6EFF610C" w14:textId="0C0D91FA" w:rsidR="00771C11" w:rsidRDefault="00771C11" w:rsidP="00E37C6E">
      <w:pPr>
        <w:rPr>
          <w:sz w:val="24"/>
          <w:szCs w:val="24"/>
        </w:rPr>
      </w:pPr>
      <w:r>
        <w:rPr>
          <w:sz w:val="24"/>
          <w:szCs w:val="24"/>
        </w:rPr>
        <w:t>Sottocutanea</w:t>
      </w:r>
    </w:p>
    <w:p w14:paraId="7FA5CFBA" w14:textId="0F5520A4" w:rsidR="00771C11" w:rsidRPr="00771C11" w:rsidRDefault="00771C11" w:rsidP="00E37C6E">
      <w:pPr>
        <w:rPr>
          <w:sz w:val="24"/>
          <w:szCs w:val="24"/>
        </w:rPr>
      </w:pPr>
      <w:r>
        <w:rPr>
          <w:sz w:val="24"/>
          <w:szCs w:val="24"/>
        </w:rPr>
        <w:t xml:space="preserve">Intramuscolare </w:t>
      </w:r>
    </w:p>
    <w:p w14:paraId="5EEEE51D" w14:textId="77777777" w:rsidR="00E37C6E" w:rsidRPr="00771C11" w:rsidRDefault="00E37C6E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p w14:paraId="3EF4E2AF" w14:textId="77777777" w:rsidR="009C6808" w:rsidRPr="00771C11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p w14:paraId="29AED1CF" w14:textId="77777777" w:rsidR="009C6808" w:rsidRPr="00771C11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p w14:paraId="13CC5E29" w14:textId="77777777" w:rsidR="009C6808" w:rsidRPr="00771C11" w:rsidRDefault="009C6808" w:rsidP="008E39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C6808" w:rsidRPr="00771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D"/>
    <w:rsid w:val="000C5C98"/>
    <w:rsid w:val="000D3B12"/>
    <w:rsid w:val="000D41CD"/>
    <w:rsid w:val="001254C2"/>
    <w:rsid w:val="002105CA"/>
    <w:rsid w:val="002E374E"/>
    <w:rsid w:val="004F3CAA"/>
    <w:rsid w:val="00574879"/>
    <w:rsid w:val="005A100D"/>
    <w:rsid w:val="00771C11"/>
    <w:rsid w:val="007F7D85"/>
    <w:rsid w:val="008759E0"/>
    <w:rsid w:val="0089713F"/>
    <w:rsid w:val="008E39D3"/>
    <w:rsid w:val="009A22C8"/>
    <w:rsid w:val="009B4FFE"/>
    <w:rsid w:val="009C6808"/>
    <w:rsid w:val="00AA4E83"/>
    <w:rsid w:val="00BC3E0C"/>
    <w:rsid w:val="00C3764C"/>
    <w:rsid w:val="00CC07A4"/>
    <w:rsid w:val="00CE3E0C"/>
    <w:rsid w:val="00E37C6E"/>
    <w:rsid w:val="00E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84CD"/>
  <w15:chartTrackingRefBased/>
  <w15:docId w15:val="{7ECE7C0C-3D0E-4C9C-A4AD-ECAA203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C5B1-1EB1-4205-9A77-95417AC3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 Simone</dc:creator>
  <cp:keywords/>
  <dc:description/>
  <cp:lastModifiedBy>Torelli Sarah</cp:lastModifiedBy>
  <cp:revision>2</cp:revision>
  <dcterms:created xsi:type="dcterms:W3CDTF">2022-12-13T14:20:00Z</dcterms:created>
  <dcterms:modified xsi:type="dcterms:W3CDTF">2022-12-13T14:20:00Z</dcterms:modified>
</cp:coreProperties>
</file>